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0"/>
        <w:spacing w:before="100" w:beforeAutospacing="true" w:after="100" w:afterAutospacing="true" w:lineRule="auto" w:line="240"/>
        <w:jc w:val="center"/>
        <w:outlineLvl w:val="0"/>
        <w:rPr>
          <w:rFonts w:ascii="Arial Narrow" w:cs="Times New Roman" w:eastAsia="Times New Roman" w:hAnsi="Arial Narrow"/>
          <w:b/>
          <w:bCs/>
          <w:kern w:val="36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36"/>
          <w:sz w:val="26"/>
          <w:szCs w:val="26"/>
          <w14:ligatures xmlns:w14="http://schemas.microsoft.com/office/word/2010/wordml" w14:val="none"/>
        </w:rPr>
        <w:t>CSSS EXECUTIVE NATIONAL SECURITY PROGRAMMES</w:t>
      </w:r>
    </w:p>
    <w:p>
      <w:pPr>
        <w:pStyle w:val="style0"/>
        <w:spacing w:before="100" w:beforeAutospacing="true" w:after="100" w:afterAutospacing="true" w:lineRule="auto" w:line="240"/>
        <w:jc w:val="center"/>
        <w:outlineLvl w:val="2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i/>
          <w:iCs/>
          <w:kern w:val="0"/>
          <w:sz w:val="26"/>
          <w:szCs w:val="26"/>
          <w14:ligatures xmlns:w14="http://schemas.microsoft.com/office/word/2010/wordml" w14:val="none"/>
        </w:rPr>
        <w:t>“Strategic Knowledge for Effective Leadership, Governance and National Security”</w:t>
      </w:r>
    </w:p>
    <w:p>
      <w:pPr>
        <w:pStyle w:val="style0"/>
        <w:spacing w:before="100" w:beforeAutospacing="true" w:after="100" w:afterAutospacing="true" w:lineRule="auto" w:line="240"/>
        <w:jc w:val="both"/>
        <w:outlineLvl w:val="1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About the Programmes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1.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The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Centre for Strategic Studies and Security (CSSS)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at the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National Defence University–Kenya (NDU-K)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offers a portfolio of executive training programmes designed to strengthen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strategic leadership, policy capacity, institutional resilience and national security awareness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across Government Ministries, Departments and Agencies (MDAs), the private sector, security and defence institutions, development partners and other strategic 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organizations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2.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The programmes provide participants with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practical knowledge, strategic insights and contemporary tools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to navigate emerging national, regional and global challenges. They are delivered through a combination of expert presentations, facilitated discussions, case studies, scenario-based exercises and practical applications.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3.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CSSS programmes may be offered as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open executive programmes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or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customized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 xml:space="preserve"> institutional programmes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based on the specific requirements of an organisation.</w:t>
      </w:r>
    </w:p>
    <w:p>
      <w:pPr>
        <w:pStyle w:val="style0"/>
        <w:spacing w:before="100" w:beforeAutospacing="true" w:after="100" w:afterAutospacing="true" w:lineRule="auto" w:line="240"/>
        <w:jc w:val="both"/>
        <w:outlineLvl w:val="1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4.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Executive National Security Training Portfolio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29"/>
        <w:gridCol w:w="1992"/>
        <w:gridCol w:w="2342"/>
        <w:gridCol w:w="1326"/>
        <w:gridCol w:w="2051"/>
        <w:gridCol w:w="1625"/>
      </w:tblGrid>
      <w:tr>
        <w:trPr>
          <w:trHeight w:val="179" w:hRule="atLeast"/>
          <w:tblHeader/>
        </w:trPr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Ser</w:t>
            </w:r>
          </w:p>
        </w:tc>
        <w:tc>
          <w:tcPr>
            <w:tcW w:w="1822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Executive Programme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Programme Focus</w:t>
            </w:r>
          </w:p>
        </w:tc>
        <w:tc>
          <w:tcPr>
            <w:tcW w:w="1093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Duration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Target Participants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Period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1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National Security Awareness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National security concepts, threats, institutions, human security and the role of citizens and MDAs in national security.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and middle-level managers, policy officers, institutional leaders and professionals in MDAs, private sector and strategic organisations.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January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2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Ethics and Leadership for National Security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Ethical leadership, integrity, accountability, values-based decision-making and leadership responsibilities in national security.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5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managers, directors, heads of departments, ethics officers and emerging institutional leaders.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February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National Security and Strategic Leadership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Strategic leadership, national interests, policy formulation, strategic decision-making and leadership in complex security environments.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executives, directors, heads of institutions, policy leaders and strategic-level managers.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March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4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AI and Cybersecurity for Executive Governance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Artificial intelligence, cyber threats, data protection, digital risks and responsible technology governance for senior leaders.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CEOs, directors, senior managers, ICT leaders, risk managers, policy makers and governance professionals.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April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5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Strategic Leadership, Governance and Policy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Governance, strategic policy development, institutional leadership, public-sector transformation and policy implementation.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managers, risk and compliance officers, crisis-management teams and institutional decision-makers.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May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6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Emerging Security Challenges and National Resilience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Emerging and non-traditional security threats, vulnerability assessment, preparedness, resilience and adaptive institutional responses.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government officials, diplomats, security professionals, policy makers, researchers and strategic managers.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June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7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Crisis Management and Strategic Decision-Making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Crisis preparedness, risk assessment, crisis communication, coordination and strategic decision-making under pressure.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Policy makers, senior public servants, directors, managers and professionals involved in governance and strategic planning.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July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8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Inter-Agency Coordination and National Security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Whole-of-government approaches, inter-agency cooperation, information sharing, coordination mechanisms and joint responses.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5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executives, ICT professionals, policy makers, security practitioners and technology leaders.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August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9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National Security, Technology and Emerging Threats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 xml:space="preserve">Technology-enabled threats, digital transformation, disruptive technologies, technological dependencies and </w:t>
            </w: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national security implications.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Senior and middle-level officers from MDAs, security agencies and other strategic institutions.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September</w:t>
            </w:r>
          </w:p>
        </w:tc>
      </w:tr>
      <w:tr>
        <w:tblPrEx/>
        <w:trPr/>
        <w:tc>
          <w:tcPr>
            <w:tcW w:w="561" w:type="dxa"/>
            <w:tcBorders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10</w:t>
            </w:r>
          </w:p>
        </w:tc>
        <w:tc>
          <w:tcPr>
            <w:tcW w:w="1822" w:type="dxa"/>
            <w:tcBorders/>
            <w:vAlign w:val="center"/>
            <w:hideMark/>
          </w:tcPr>
          <w:p>
            <w:pPr>
              <w:pStyle w:val="style0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Strategic Risk Management and Institutional Resilience</w:t>
            </w:r>
          </w:p>
        </w:tc>
        <w:tc>
          <w:tcPr>
            <w:tcW w:w="2342" w:type="dxa"/>
            <w:tcBorders/>
            <w:vAlign w:val="center"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Identification and analysis of strategic risks, risk mitigation, business continuity and institutional resilience.</w:t>
            </w:r>
          </w:p>
        </w:tc>
        <w:tc>
          <w:tcPr>
            <w:tcW w:w="1093" w:type="dxa"/>
            <w:tcBorders/>
            <w:vAlign w:val="center"/>
            <w:hideMark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  <w:hideMark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Sector leaders, institutional managers, regulators, technical experts and strategic stakeholders.</w:t>
            </w: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October</w:t>
            </w:r>
          </w:p>
        </w:tc>
      </w:tr>
      <w:tr>
        <w:tblPrEx/>
        <w:trPr/>
        <w:tc>
          <w:tcPr>
            <w:tcW w:w="561" w:type="dxa"/>
            <w:tcBorders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11</w:t>
            </w:r>
          </w:p>
        </w:tc>
        <w:tc>
          <w:tcPr>
            <w:tcW w:w="1822" w:type="dxa"/>
            <w:tcBorders/>
            <w:vAlign w:val="center"/>
          </w:tcPr>
          <w:p>
            <w:pPr>
              <w:pStyle w:val="style0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National Security Policy, Analysis and Foresight</w:t>
            </w:r>
          </w:p>
        </w:tc>
        <w:tc>
          <w:tcPr>
            <w:tcW w:w="2342" w:type="dxa"/>
            <w:tcBorders/>
            <w:vAlign w:val="center"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Strategic analysis, policy research, foresight methodologies, scenario planning and anticipation of future security challenges.</w:t>
            </w:r>
          </w:p>
        </w:tc>
        <w:tc>
          <w:tcPr>
            <w:tcW w:w="1093" w:type="dxa"/>
            <w:tcBorders/>
            <w:vAlign w:val="center"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5 Days</w:t>
            </w:r>
          </w:p>
        </w:tc>
        <w:tc>
          <w:tcPr>
            <w:tcW w:w="2051" w:type="dxa"/>
            <w:tcBorders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November</w:t>
            </w:r>
          </w:p>
        </w:tc>
      </w:tr>
      <w:tr>
        <w:tblPrEx/>
        <w:trPr/>
        <w:tc>
          <w:tcPr>
            <w:tcW w:w="561" w:type="dxa"/>
            <w:tcBorders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12</w:t>
            </w:r>
          </w:p>
        </w:tc>
        <w:tc>
          <w:tcPr>
            <w:tcW w:w="1822" w:type="dxa"/>
            <w:tcBorders/>
            <w:vAlign w:val="center"/>
          </w:tcPr>
          <w:p>
            <w:pPr>
              <w:pStyle w:val="style0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  <w:t>Leadership, Ethics and Integrity in Public Service</w:t>
            </w:r>
          </w:p>
        </w:tc>
        <w:tc>
          <w:tcPr>
            <w:tcW w:w="2342" w:type="dxa"/>
            <w:tcBorders/>
            <w:vAlign w:val="center"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Public-sector leadership, ethical conduct, integrity systems, accountability and responsible decision-making.</w:t>
            </w:r>
          </w:p>
        </w:tc>
        <w:tc>
          <w:tcPr>
            <w:tcW w:w="1093" w:type="dxa"/>
            <w:tcBorders/>
            <w:vAlign w:val="center"/>
          </w:tcPr>
          <w:p>
            <w:pPr>
              <w:pStyle w:val="style0"/>
              <w:jc w:val="center"/>
              <w:rPr>
                <w:rFonts w:ascii="Arial Narrow" w:cs="Times New Roman" w:eastAsia="Times New Roman" w:hAnsi="Arial Narrow"/>
                <w:b/>
                <w:bCs/>
                <w:kern w:val="0"/>
                <w:sz w:val="26"/>
                <w:szCs w:val="26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3 Days</w:t>
            </w:r>
          </w:p>
        </w:tc>
        <w:tc>
          <w:tcPr>
            <w:tcW w:w="2051" w:type="dxa"/>
            <w:tcBorders/>
          </w:tcPr>
          <w:p>
            <w:pPr>
              <w:pStyle w:val="style0"/>
              <w:jc w:val="both"/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</w:pPr>
          </w:p>
        </w:tc>
        <w:tc>
          <w:tcPr>
            <w:tcW w:w="1259" w:type="dxa"/>
            <w:tcBorders/>
          </w:tcPr>
          <w:p>
            <w:pPr>
              <w:pStyle w:val="style0"/>
              <w:jc w:val="right"/>
              <w:rPr>
                <w:rFonts w:ascii="Times New Roman" w:cs="Times New Roman" w:eastAsia="Times New Roman" w:hAnsi="Times New Roman"/>
                <w:b/>
                <w:bCs/>
                <w:kern w:val="0"/>
                <w14:ligatures xmlns:w14="http://schemas.microsoft.com/office/word/2010/wordml" w14:val="none"/>
              </w:rPr>
            </w:pPr>
            <w:r>
              <w:rPr>
                <w:rFonts w:ascii="Arial Narrow" w:cs="Times New Roman" w:eastAsia="Times New Roman" w:hAnsi="Arial Narrow"/>
                <w:kern w:val="0"/>
                <w:sz w:val="26"/>
                <w:szCs w:val="26"/>
                <w14:ligatures xmlns:w14="http://schemas.microsoft.com/office/word/2010/wordml" w14:val="none"/>
              </w:rPr>
              <w:t>December</w:t>
            </w:r>
          </w:p>
        </w:tc>
      </w:tr>
    </w:tbl>
    <w:p>
      <w:pPr>
        <w:pStyle w:val="style0"/>
        <w:spacing w:before="100" w:beforeAutospacing="true" w:after="100" w:afterAutospacing="true" w:lineRule="auto" w:line="240"/>
        <w:jc w:val="both"/>
        <w:outlineLvl w:val="1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Who Should Attend?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5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The programmes are designed for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senior and middle-level leaders, managers and professionals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from Government Ministries, Departments and Agencies (MDAs), the private sector, security and defence institutions, development partners and other strategic organisations whose responsibilities involve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leadership, governance, policy, risk management, national security or institutional resilience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6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Participants may include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Chief Executive Officers, Directors, Heads of Departments, senior public servants, policy and planning officers, security practitioners, ICT and risk professionals, regulators, researchers and other strategic decision-makers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</w:p>
    <w:p>
      <w:pPr>
        <w:pStyle w:val="style0"/>
        <w:spacing w:before="100" w:beforeAutospacing="true" w:after="100" w:afterAutospacing="true" w:lineRule="auto" w:line="240"/>
        <w:jc w:val="both"/>
        <w:outlineLvl w:val="0"/>
        <w:rPr>
          <w:rFonts w:ascii="Arial Narrow" w:cs="Times New Roman" w:eastAsia="Times New Roman" w:hAnsi="Arial Narrow"/>
          <w:b/>
          <w:bCs/>
          <w:kern w:val="36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36"/>
          <w:sz w:val="26"/>
          <w:szCs w:val="26"/>
          <w14:ligatures xmlns:w14="http://schemas.microsoft.com/office/word/2010/wordml" w14:val="none"/>
        </w:rPr>
        <w:t>How to Register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7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Interested organisations and participants may register through the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CSSS Training Office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</w:p>
    <w:p>
      <w:pPr>
        <w:pStyle w:val="style0"/>
        <w:spacing w:before="100" w:beforeAutospacing="true" w:after="100" w:afterAutospacing="true" w:lineRule="auto" w:line="240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Centre for Strategic Studies and Security (CSSS)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br/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National Defence University–Kenya (NDU-K)</w:t>
      </w:r>
    </w:p>
    <w:p>
      <w:pPr>
        <w:pStyle w:val="style0"/>
        <w:spacing w:before="100" w:beforeAutospacing="true" w:after="100" w:afterAutospacing="true" w:lineRule="auto" w:line="240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Email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: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 xml:space="preserve"> </w:t>
      </w:r>
      <w:r>
        <w:rPr>
          <w:rFonts w:ascii="Arial Narrow" w:cs="Times New Roman" w:eastAsia="Times New Roman" w:hAnsi="Arial Narrow"/>
          <w:color w:val="0000ff"/>
          <w:kern w:val="0"/>
          <w:sz w:val="26"/>
          <w:szCs w:val="26"/>
          <w:u w:val="single"/>
          <w14:ligatures xmlns:w14="http://schemas.microsoft.com/office/word/2010/wordml" w14:val="none"/>
        </w:rPr>
        <w:t>director-csss@ndu.ac.ke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br/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Tel: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+254 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722657197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8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Organizations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may also contact CSSS to discuss 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customized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programmes, preferred dates, group participation and sector-specific training requirements.</w:t>
      </w:r>
    </w:p>
    <w:p>
      <w:pPr>
        <w:pStyle w:val="style0"/>
        <w:spacing w:before="100" w:beforeAutospacing="true" w:after="100" w:afterAutospacing="true" w:lineRule="auto" w:line="240"/>
        <w:jc w:val="both"/>
        <w:outlineLvl w:val="1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0"/>
        <w:spacing w:before="100" w:beforeAutospacing="true" w:after="100" w:afterAutospacing="true" w:lineRule="auto" w:line="240"/>
        <w:jc w:val="both"/>
        <w:outlineLvl w:val="1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Why CSSS Executive Programmes?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9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CSSS executive programmes provide a platform for leaders and professionals to: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a.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Strengthen strategic leadership and decision-making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b.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Understand emerging national, regional and global security challenges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c.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Enhance policy and governance capacity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d.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Build institutional resilience and strategic risk-management capabilities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e.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Understand the implications of AI, cybersecurity and emerging technologies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f.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Promote ethical leadership, accountability and responsible governance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g.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Strengthen inter-agency coordination and strategic collaboration</w:t>
      </w: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p>
      <w:pPr>
        <w:pStyle w:val="style179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h.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Apply strategic knowledge to real-world institutional and national challenges.</w:t>
      </w:r>
    </w:p>
    <w:p>
      <w:pPr>
        <w:pStyle w:val="style0"/>
        <w:spacing w:before="100" w:beforeAutospacing="true" w:after="100" w:afterAutospacing="true" w:lineRule="auto" w:line="240"/>
        <w:jc w:val="both"/>
        <w:outlineLvl w:val="2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Delivery Approach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1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0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Programmes are delivered using a combination of:</w:t>
      </w:r>
    </w:p>
    <w:p>
      <w:pPr>
        <w:pStyle w:val="style0"/>
        <w:spacing w:before="100" w:beforeAutospacing="true" w:after="100" w:afterAutospacing="true" w:lineRule="auto" w:line="240"/>
        <w:ind w:firstLine="72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a.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Expert Presentations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</w:t>
      </w:r>
    </w:p>
    <w:p>
      <w:pPr>
        <w:pStyle w:val="style0"/>
        <w:spacing w:before="100" w:beforeAutospacing="true" w:after="100" w:afterAutospacing="true" w:lineRule="auto" w:line="240"/>
        <w:ind w:firstLine="72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b.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Executive Discussions</w:t>
      </w:r>
    </w:p>
    <w:p>
      <w:pPr>
        <w:pStyle w:val="style0"/>
        <w:spacing w:before="100" w:beforeAutospacing="true" w:after="100" w:afterAutospacing="true" w:lineRule="auto" w:line="240"/>
        <w:ind w:firstLine="72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c.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Case Studies</w:t>
      </w:r>
    </w:p>
    <w:p>
      <w:pPr>
        <w:pStyle w:val="style0"/>
        <w:spacing w:before="100" w:beforeAutospacing="true" w:after="100" w:afterAutospacing="true" w:lineRule="auto" w:line="240"/>
        <w:ind w:firstLine="72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d.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Scenario-Based 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Exercises</w:t>
      </w:r>
    </w:p>
    <w:p>
      <w:pPr>
        <w:pStyle w:val="style0"/>
        <w:spacing w:before="100" w:beforeAutospacing="true" w:after="100" w:afterAutospacing="true" w:lineRule="auto" w:line="240"/>
        <w:ind w:firstLine="72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e.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G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roup Work | Strategic Simulations | Practical Applications</w:t>
      </w:r>
    </w:p>
    <w:p>
      <w:pPr>
        <w:pStyle w:val="style0"/>
        <w:spacing w:before="100" w:beforeAutospacing="true" w:after="100" w:afterAutospacing="true" w:lineRule="auto" w:line="240"/>
        <w:jc w:val="both"/>
        <w:outlineLvl w:val="2"/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Certificate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1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1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.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ab/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Participants who complete a CSSS executive programme will receive a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Certificate of Participation/Completion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 xml:space="preserve"> issued by the </w:t>
      </w:r>
      <w:r>
        <w:rPr>
          <w:rFonts w:ascii="Arial Narrow" w:cs="Times New Roman" w:eastAsia="Times New Roman" w:hAnsi="Arial Narrow"/>
          <w:b/>
          <w:bCs/>
          <w:kern w:val="0"/>
          <w:sz w:val="26"/>
          <w:szCs w:val="26"/>
          <w14:ligatures xmlns:w14="http://schemas.microsoft.com/office/word/2010/wordml" w14:val="none"/>
        </w:rPr>
        <w:t>National Defence University–Kenya (NDU-K)</w:t>
      </w:r>
      <w:r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  <w:t>, subject to the requirements of the respective programme.</w:t>
      </w:r>
    </w:p>
    <w:p>
      <w:pPr>
        <w:pStyle w:val="style0"/>
        <w:spacing w:before="100" w:beforeAutospacing="true" w:after="100" w:afterAutospacing="true" w:lineRule="auto" w:line="240"/>
        <w:jc w:val="both"/>
        <w:rPr>
          <w:rFonts w:ascii="Arial Narrow" w:cs="Times New Roman" w:eastAsia="Times New Roman" w:hAnsi="Arial Narrow"/>
          <w:kern w:val="0"/>
          <w:sz w:val="26"/>
          <w:szCs w:val="26"/>
          <w14:ligatures xmlns:w14="http://schemas.microsoft.com/office/word/2010/wordml" w14:val="none"/>
        </w:rPr>
      </w:pPr>
    </w:p>
    <w:sectPr>
      <w:footerReference w:type="default" r:id="rId2"/>
      <w:pgSz w:w="12240" w:h="15840" w:orient="portrait"/>
      <w:pgMar w:top="180" w:right="990" w:bottom="720" w:left="900" w:header="720" w:footer="1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002030204"/>
    <w:charset w:val="00"/>
    <w:family w:val="swiss"/>
    <w:pitch w:val="variable"/>
    <w:sig w:usb0="00000287" w:usb1="00000800" w:usb2="00000000" w:usb3="00000000" w:csb0="0000009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>
        <w:noProof/>
      </w:rPr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2"/>
      <w:jc w:val="center"/>
      <w:rPr/>
    </w:pPr>
    <w:r>
      <w:rPr>
        <w:noProof/>
      </w:rPr>
      <w:t>RESTRICTED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42A975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0A14DB2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468E3C4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F7761C3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F7B2FE7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ADC02D0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DD3031E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925E85C6"/>
    <w:lvl w:ilvl="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  <w:rPr>
        <w:rFonts w:ascii="Arial Narrow" w:cs="Times New Roman" w:eastAsia="Times New Roman" w:hAnsi="Arial Narrow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56A678B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9"/>
    <w:multiLevelType w:val="hybridMultilevel"/>
    <w:tmpl w:val="78446156"/>
    <w:lvl w:ilvl="0" w:tplc="D728C01C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4"/>
        <w:szCs w:val="24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f914e0f1-64f8-4a75-b061-5f360f544cbb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Heading 2 Char_1a2cbd0c-03c1-4157-8996-7e320dbc763d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Heading 3 Char_0f52d20c-9c3e-4b12-ba6f-1aef02170085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Heading 4 Char_7a4a6503-c4c9-48a3-aebf-7ef253d384c8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Heading 5 Char_dac6c617-0e12-491f-8406-83931c367f3f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Heading 6 Char_49e783c5-597b-404a-b814-4a29169fd4f9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82d14bc1-859a-4630-8dea-db8bce6787ba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14225722-a005-4a4b-a9d9-67a6e592447e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533976ed-753e-44d1-b1fc-e4727db53216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3d675262-21b1-493e-96a8-99c031c0c6d4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78007ea4-1310-49f9-9127-0dbc60af7eb5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Intense Quote Char_72ee2125-98ba-468f-889b-8e0f24ef25aa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11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0">
    <w:name w:val="Header Char_0f23b1ad-4e00-4794-aee2-ed941669aac9"/>
    <w:basedOn w:val="style65"/>
    <w:next w:val="style4110"/>
    <w:link w:val="style31"/>
    <w:uiPriority w:val="99"/>
  </w:style>
  <w:style w:type="paragraph" w:styleId="style32">
    <w:name w:val="footer"/>
    <w:basedOn w:val="style0"/>
    <w:next w:val="style32"/>
    <w:link w:val="style4111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11">
    <w:name w:val="Footer Char_00fbadf0-5a9a-4c0f-ae90-ef5758a406d9"/>
    <w:basedOn w:val="style65"/>
    <w:next w:val="style4111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DDA68-BCB8-4E80-B6D2-1263C5ACE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Words>814</Words>
  <Pages>4</Pages>
  <Characters>5964</Characters>
  <Application>WPS Office</Application>
  <DocSecurity>0</DocSecurity>
  <Paragraphs>139</Paragraphs>
  <ScaleCrop>false</ScaleCrop>
  <LinksUpToDate>false</LinksUpToDate>
  <CharactersWithSpaces>6664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2026-09-17T08:46:00Z</dcterms:created>
  <dc:creator>COL Training CSSS</dc:creator>
  <lastModifiedBy>Infinix X6853</lastModifiedBy>
  <dcterms:modified xsi:type="dcterms:W3CDTF">2026-09-23T13:06:57Z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e0f64b50-3c2d-48f9-a905-f80747aade85</vt:lpwstr>
  </property>
  <property fmtid="{D5CDD505-2E9C-101B-9397-08002B2CF9AE}" pid="3" name="ICV">
    <vt:lpwstr>d933dd05324d472e9f11c5b3858802b8</vt:lpwstr>
  </property>
</Properties>
</file>